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5991C4" w14:textId="58C134A5" w:rsidR="0017152E" w:rsidRPr="0017152E" w:rsidRDefault="001F049B" w:rsidP="0017152E">
      <w:pPr>
        <w:pStyle w:val="NormalWeb"/>
      </w:pPr>
      <w:r w:rsidRPr="001330C5">
        <w:rPr>
          <w:noProof/>
          <w:sz w:val="20"/>
          <w:szCs w:val="20"/>
        </w:rPr>
        <w:drawing>
          <wp:anchor distT="36576" distB="36576" distL="36576" distR="36576" simplePos="0" relativeHeight="251658240" behindDoc="0" locked="0" layoutInCell="1" allowOverlap="1" wp14:anchorId="2FBCE6C0" wp14:editId="2F592698">
            <wp:simplePos x="0" y="0"/>
            <wp:positionH relativeFrom="margin">
              <wp:posOffset>-90805</wp:posOffset>
            </wp:positionH>
            <wp:positionV relativeFrom="paragraph">
              <wp:posOffset>188595</wp:posOffset>
            </wp:positionV>
            <wp:extent cx="5731200" cy="1576800"/>
            <wp:effectExtent l="0" t="0" r="0" b="0"/>
            <wp:wrapTopAndBottom/>
            <wp:docPr id="1" name="Picture 1" descr="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
                    <pic:cNvPicPr>
                      <a:picLocks noChangeAspect="1" noChangeArrowheads="1"/>
                    </pic:cNvPicPr>
                  </pic:nvPicPr>
                  <pic:blipFill rotWithShape="1">
                    <a:blip r:embed="rId5">
                      <a:extLst>
                        <a:ext uri="{28A0092B-C50C-407E-A947-70E740481C1C}">
                          <a14:useLocalDpi xmlns:a14="http://schemas.microsoft.com/office/drawing/2010/main" val="0"/>
                        </a:ext>
                      </a:extLst>
                    </a:blip>
                    <a:srcRect t="1" b="81259"/>
                    <a:stretch/>
                  </pic:blipFill>
                  <pic:spPr bwMode="auto">
                    <a:xfrm>
                      <a:off x="0" y="0"/>
                      <a:ext cx="5731200" cy="157680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7152E">
        <w:rPr>
          <w:color w:val="000000"/>
        </w:rPr>
        <w:t>Dear Parents</w:t>
      </w:r>
      <w:r w:rsidR="0017152E">
        <w:rPr>
          <w:color w:val="000000"/>
        </w:rPr>
        <w:tab/>
      </w:r>
      <w:r w:rsidR="0017152E">
        <w:rPr>
          <w:color w:val="000000"/>
        </w:rPr>
        <w:tab/>
      </w:r>
      <w:r w:rsidR="0017152E">
        <w:rPr>
          <w:color w:val="000000"/>
        </w:rPr>
        <w:tab/>
      </w:r>
      <w:r w:rsidR="0017152E">
        <w:rPr>
          <w:color w:val="000000"/>
        </w:rPr>
        <w:tab/>
      </w:r>
      <w:r w:rsidR="0017152E">
        <w:rPr>
          <w:color w:val="000000"/>
        </w:rPr>
        <w:tab/>
      </w:r>
      <w:r w:rsidR="0017152E">
        <w:rPr>
          <w:color w:val="000000"/>
        </w:rPr>
        <w:tab/>
      </w:r>
      <w:r w:rsidR="0017152E">
        <w:rPr>
          <w:color w:val="000000"/>
        </w:rPr>
        <w:tab/>
      </w:r>
      <w:r w:rsidR="0017152E">
        <w:rPr>
          <w:color w:val="000000"/>
        </w:rPr>
        <w:tab/>
      </w:r>
      <w:r w:rsidR="0017152E">
        <w:rPr>
          <w:color w:val="000000"/>
        </w:rPr>
        <w:tab/>
      </w:r>
      <w:r w:rsidR="00DD0292">
        <w:rPr>
          <w:color w:val="000000"/>
        </w:rPr>
        <w:t>July 2020</w:t>
      </w:r>
      <w:bookmarkStart w:id="0" w:name="_GoBack"/>
      <w:bookmarkEnd w:id="0"/>
    </w:p>
    <w:p w14:paraId="5439D69B" w14:textId="77777777" w:rsidR="0017152E" w:rsidRDefault="0017152E" w:rsidP="0017152E">
      <w:pPr>
        <w:pStyle w:val="NormalWeb"/>
        <w:rPr>
          <w:b/>
          <w:bCs/>
          <w:color w:val="000000"/>
          <w:u w:val="single"/>
        </w:rPr>
      </w:pPr>
      <w:r>
        <w:rPr>
          <w:b/>
          <w:bCs/>
          <w:color w:val="000000"/>
          <w:u w:val="single"/>
        </w:rPr>
        <w:t>Online Literacy &amp; Numeracy Resources for Primary 6.</w:t>
      </w:r>
    </w:p>
    <w:p w14:paraId="49EAE04F" w14:textId="77777777" w:rsidR="0017152E" w:rsidRDefault="0017152E" w:rsidP="0017152E">
      <w:pPr>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The Department of Education (DE) has proposed a scheme whereby all current Year 6 children and </w:t>
      </w:r>
      <w:r>
        <w:rPr>
          <w:rFonts w:ascii="Times New Roman" w:hAnsi="Times New Roman" w:cs="Times New Roman"/>
          <w:color w:val="000000" w:themeColor="text1"/>
          <w:sz w:val="24"/>
          <w:szCs w:val="24"/>
        </w:rPr>
        <w:t xml:space="preserve">their parents </w:t>
      </w:r>
      <w:r>
        <w:rPr>
          <w:rFonts w:ascii="Times New Roman" w:hAnsi="Times New Roman" w:cs="Times New Roman"/>
          <w:sz w:val="24"/>
          <w:szCs w:val="24"/>
        </w:rPr>
        <w:t xml:space="preserve">may access online learning programmes in </w:t>
      </w:r>
      <w:r>
        <w:rPr>
          <w:rFonts w:ascii="Times New Roman" w:hAnsi="Times New Roman" w:cs="Times New Roman"/>
          <w:color w:val="000000" w:themeColor="text1"/>
          <w:sz w:val="24"/>
          <w:szCs w:val="24"/>
        </w:rPr>
        <w:t>English and Maths. See below.</w:t>
      </w:r>
    </w:p>
    <w:p w14:paraId="52AC1508" w14:textId="77777777" w:rsidR="0017152E" w:rsidRDefault="0017152E" w:rsidP="0017152E">
      <w:pPr>
        <w:jc w:val="both"/>
        <w:rPr>
          <w:rFonts w:ascii="Times New Roman" w:hAnsi="Times New Roman" w:cs="Times New Roman"/>
          <w:b/>
          <w:sz w:val="24"/>
          <w:szCs w:val="24"/>
        </w:rPr>
      </w:pPr>
      <w:r>
        <w:rPr>
          <w:rFonts w:ascii="Times New Roman" w:hAnsi="Times New Roman" w:cs="Times New Roman"/>
          <w:sz w:val="24"/>
          <w:szCs w:val="24"/>
        </w:rPr>
        <w:t xml:space="preserve">Children will require access to a tablet, laptop or smart phone to access the programmes. </w:t>
      </w:r>
      <w:r>
        <w:rPr>
          <w:rFonts w:ascii="Times New Roman" w:hAnsi="Times New Roman" w:cs="Times New Roman"/>
          <w:b/>
          <w:sz w:val="24"/>
          <w:szCs w:val="24"/>
        </w:rPr>
        <w:t>Parental engagement with this scheme is optional.</w:t>
      </w:r>
    </w:p>
    <w:p w14:paraId="2EAFC80C" w14:textId="77777777" w:rsidR="0017152E" w:rsidRDefault="0017152E" w:rsidP="0017152E">
      <w:pPr>
        <w:pStyle w:val="NormalWeb"/>
        <w:rPr>
          <w:b/>
          <w:bCs/>
          <w:color w:val="000000"/>
        </w:rPr>
      </w:pPr>
      <w:r>
        <w:rPr>
          <w:b/>
          <w:bCs/>
          <w:color w:val="000000"/>
        </w:rPr>
        <w:t>MATHEMATICS MASTERY:</w:t>
      </w:r>
    </w:p>
    <w:p w14:paraId="289A3CAB" w14:textId="77777777" w:rsidR="0017152E" w:rsidRDefault="0017152E" w:rsidP="0017152E">
      <w:pPr>
        <w:pStyle w:val="NormalWeb"/>
        <w:rPr>
          <w:color w:val="000000"/>
        </w:rPr>
      </w:pPr>
      <w:r>
        <w:rPr>
          <w:color w:val="000000"/>
        </w:rPr>
        <w:t>Access to Mathematics Mastery is free.</w:t>
      </w:r>
    </w:p>
    <w:p w14:paraId="40162A76" w14:textId="77777777" w:rsidR="0017152E" w:rsidRDefault="0017152E" w:rsidP="0017152E">
      <w:pPr>
        <w:pStyle w:val="NormalWeb"/>
        <w:rPr>
          <w:color w:val="000000"/>
        </w:rPr>
      </w:pPr>
      <w:r>
        <w:rPr>
          <w:color w:val="000000"/>
        </w:rPr>
        <w:t>Mathematics Mastery provides a structured programme for literacy and numeracy and step by step guides for parents.</w:t>
      </w:r>
    </w:p>
    <w:p w14:paraId="2D67CF81" w14:textId="77777777" w:rsidR="0017152E" w:rsidRDefault="0017152E" w:rsidP="0017152E">
      <w:pPr>
        <w:pStyle w:val="NormalWeb"/>
        <w:rPr>
          <w:color w:val="000000"/>
        </w:rPr>
      </w:pPr>
      <w:r>
        <w:rPr>
          <w:color w:val="000000"/>
        </w:rPr>
        <w:t>Parental access to the programme is straight forward, there is no need to register just access the ‘Free Covid-19 Resources’ at the top of the Mathematics Mastery homepage: https://www.mathematicsmastery.org/</w:t>
      </w:r>
    </w:p>
    <w:p w14:paraId="02904B27" w14:textId="77777777" w:rsidR="0017152E" w:rsidRDefault="0017152E" w:rsidP="0017152E">
      <w:pPr>
        <w:pStyle w:val="NormalWeb"/>
        <w:rPr>
          <w:color w:val="000000"/>
        </w:rPr>
      </w:pPr>
      <w:r>
        <w:rPr>
          <w:color w:val="000000"/>
        </w:rPr>
        <w:t>There are two maths packs for each year group, one has the guidance pages and the other the pupil facing resources. Parents need to access both packs as the pupils’ packs do not make sense without the guidance. To reduce printing, the guidance packs can be accessed digitally as they contain embedded video links.</w:t>
      </w:r>
    </w:p>
    <w:p w14:paraId="749FCEFD" w14:textId="77777777" w:rsidR="0017152E" w:rsidRDefault="0017152E" w:rsidP="0017152E">
      <w:pPr>
        <w:pStyle w:val="NormalWeb"/>
        <w:rPr>
          <w:color w:val="000000"/>
        </w:rPr>
      </w:pPr>
      <w:r>
        <w:rPr>
          <w:color w:val="000000"/>
        </w:rPr>
        <w:t>There are also two literacy packs with the guidance included.</w:t>
      </w:r>
    </w:p>
    <w:p w14:paraId="31D4A61E" w14:textId="77777777" w:rsidR="0017152E" w:rsidRDefault="0017152E" w:rsidP="0017152E">
      <w:pPr>
        <w:pStyle w:val="NormalWeb"/>
        <w:rPr>
          <w:color w:val="000000"/>
        </w:rPr>
      </w:pPr>
      <w:r>
        <w:rPr>
          <w:color w:val="000000"/>
        </w:rPr>
        <w:t xml:space="preserve">Year 5 [approximately equivalent to year 6 in NI] printable packs </w:t>
      </w:r>
    </w:p>
    <w:p w14:paraId="45F58E29" w14:textId="77777777" w:rsidR="0017152E" w:rsidRDefault="0017152E" w:rsidP="0017152E">
      <w:pPr>
        <w:pStyle w:val="NormalWeb"/>
        <w:rPr>
          <w:color w:val="000000"/>
        </w:rPr>
      </w:pPr>
      <w:r>
        <w:rPr>
          <w:color w:val="000000"/>
        </w:rPr>
        <w:t xml:space="preserve">· Maths Year 5 Weeks 1-4 Guidance pack (easy for parents/guardians to guide learning) </w:t>
      </w:r>
    </w:p>
    <w:p w14:paraId="785B9CBF" w14:textId="77777777" w:rsidR="0017152E" w:rsidRDefault="0017152E" w:rsidP="0017152E">
      <w:pPr>
        <w:pStyle w:val="NormalWeb"/>
        <w:rPr>
          <w:color w:val="000000"/>
        </w:rPr>
      </w:pPr>
      <w:r>
        <w:rPr>
          <w:color w:val="000000"/>
        </w:rPr>
        <w:t xml:space="preserve">· Maths Year 5 Weeks 1-4 Pupil pack </w:t>
      </w:r>
    </w:p>
    <w:p w14:paraId="6D995421" w14:textId="77777777" w:rsidR="0017152E" w:rsidRDefault="0017152E" w:rsidP="0017152E">
      <w:pPr>
        <w:pStyle w:val="NormalWeb"/>
        <w:rPr>
          <w:color w:val="000000"/>
        </w:rPr>
      </w:pPr>
      <w:r>
        <w:rPr>
          <w:color w:val="000000"/>
        </w:rPr>
        <w:t xml:space="preserve">· Maths Year 5 Weeks 5-9 Guidance pack (easy for parents/guardians to guide learning) </w:t>
      </w:r>
    </w:p>
    <w:p w14:paraId="2E3D62DC" w14:textId="77777777" w:rsidR="0017152E" w:rsidRDefault="0017152E" w:rsidP="0017152E">
      <w:pPr>
        <w:pStyle w:val="NormalWeb"/>
        <w:rPr>
          <w:color w:val="000000"/>
        </w:rPr>
      </w:pPr>
      <w:r>
        <w:rPr>
          <w:color w:val="000000"/>
        </w:rPr>
        <w:t xml:space="preserve">· Maths Year 5 Week 5-9 Pupil pack </w:t>
      </w:r>
    </w:p>
    <w:p w14:paraId="040668EB" w14:textId="77777777" w:rsidR="0017152E" w:rsidRDefault="0017152E" w:rsidP="0017152E">
      <w:pPr>
        <w:pStyle w:val="NormalWeb"/>
        <w:rPr>
          <w:color w:val="000000"/>
        </w:rPr>
      </w:pPr>
      <w:r>
        <w:rPr>
          <w:color w:val="000000"/>
        </w:rPr>
        <w:t xml:space="preserve">· English Year 5 Workbook (week 1-4) (guidance included) </w:t>
      </w:r>
    </w:p>
    <w:p w14:paraId="04F3AE6E" w14:textId="77777777" w:rsidR="0017152E" w:rsidRDefault="0017152E" w:rsidP="0017152E">
      <w:pPr>
        <w:pStyle w:val="NormalWeb"/>
        <w:rPr>
          <w:color w:val="000000"/>
        </w:rPr>
      </w:pPr>
      <w:r>
        <w:rPr>
          <w:color w:val="000000"/>
        </w:rPr>
        <w:lastRenderedPageBreak/>
        <w:t>· English Year 5 Workbook (week 5-9) (guidance included)</w:t>
      </w:r>
    </w:p>
    <w:p w14:paraId="13776823" w14:textId="77777777" w:rsidR="0017152E" w:rsidRDefault="0017152E" w:rsidP="0017152E">
      <w:pPr>
        <w:pStyle w:val="NormalWeb"/>
        <w:rPr>
          <w:b/>
          <w:bCs/>
          <w:color w:val="000000"/>
        </w:rPr>
      </w:pPr>
      <w:r>
        <w:rPr>
          <w:b/>
          <w:bCs/>
          <w:color w:val="000000"/>
        </w:rPr>
        <w:t>Accelerated Reading</w:t>
      </w:r>
    </w:p>
    <w:p w14:paraId="66E2C6B4" w14:textId="77777777" w:rsidR="0017152E" w:rsidRDefault="0017152E" w:rsidP="0017152E">
      <w:pPr>
        <w:pStyle w:val="NormalWeb"/>
        <w:rPr>
          <w:color w:val="000000"/>
        </w:rPr>
      </w:pPr>
      <w:r>
        <w:rPr>
          <w:color w:val="000000"/>
        </w:rPr>
        <w:t>Just to let Primary 6 parents know that Accelerated Reading is still available online for all children and children are able, as usual, to take quizzes using their usual login details.</w:t>
      </w:r>
    </w:p>
    <w:p w14:paraId="24EDC5E1" w14:textId="77777777" w:rsidR="0017152E" w:rsidRDefault="0017152E" w:rsidP="0017152E">
      <w:pPr>
        <w:pStyle w:val="NormalWeb"/>
        <w:rPr>
          <w:b/>
          <w:bCs/>
          <w:color w:val="000000"/>
        </w:rPr>
      </w:pPr>
    </w:p>
    <w:p w14:paraId="50CCFE16" w14:textId="77777777" w:rsidR="0017152E" w:rsidRDefault="0017152E" w:rsidP="0017152E">
      <w:pPr>
        <w:pStyle w:val="NormalWeb"/>
        <w:rPr>
          <w:b/>
          <w:bCs/>
          <w:color w:val="000000"/>
        </w:rPr>
      </w:pPr>
      <w:r>
        <w:rPr>
          <w:b/>
          <w:bCs/>
          <w:color w:val="000000"/>
        </w:rPr>
        <w:t>Mathletics</w:t>
      </w:r>
    </w:p>
    <w:p w14:paraId="633C786B" w14:textId="77777777" w:rsidR="0017152E" w:rsidRDefault="0017152E" w:rsidP="0017152E">
      <w:pPr>
        <w:pStyle w:val="NormalWeb"/>
        <w:rPr>
          <w:color w:val="000000"/>
        </w:rPr>
      </w:pPr>
      <w:r>
        <w:rPr>
          <w:color w:val="000000"/>
        </w:rPr>
        <w:t>All children have access to Mathletics over the summer and can complete any of the activities/tasks/ games online using their usual login details.</w:t>
      </w:r>
    </w:p>
    <w:p w14:paraId="21E48653" w14:textId="77777777" w:rsidR="0017152E" w:rsidRDefault="0017152E" w:rsidP="0017152E">
      <w:pPr>
        <w:spacing w:after="0" w:line="336" w:lineRule="atLeast"/>
        <w:jc w:val="both"/>
        <w:rPr>
          <w:rFonts w:cstheme="minorHAnsi"/>
          <w:color w:val="313131"/>
          <w:sz w:val="24"/>
          <w:szCs w:val="24"/>
        </w:rPr>
      </w:pPr>
    </w:p>
    <w:p w14:paraId="5701F5BE" w14:textId="77777777" w:rsidR="0017152E" w:rsidRDefault="0017152E" w:rsidP="0017152E">
      <w:pPr>
        <w:spacing w:after="0" w:line="336" w:lineRule="atLeast"/>
        <w:jc w:val="both"/>
        <w:rPr>
          <w:rFonts w:ascii="Times New Roman" w:hAnsi="Times New Roman" w:cs="Times New Roman"/>
          <w:color w:val="313131"/>
          <w:sz w:val="24"/>
          <w:szCs w:val="24"/>
        </w:rPr>
      </w:pPr>
      <w:r>
        <w:rPr>
          <w:rFonts w:ascii="Times New Roman" w:hAnsi="Times New Roman" w:cs="Times New Roman"/>
          <w:color w:val="313131"/>
          <w:sz w:val="24"/>
          <w:szCs w:val="24"/>
        </w:rPr>
        <w:t xml:space="preserve">As with the use of any online programme or application it will be important that parents consider both appropriate levels of screen time and their child’s online safety. Parents may find the EA online safety guidance material useful: </w:t>
      </w:r>
    </w:p>
    <w:p w14:paraId="013D60D4" w14:textId="77777777" w:rsidR="0017152E" w:rsidRDefault="0017152E" w:rsidP="0017152E">
      <w:pPr>
        <w:spacing w:after="0" w:line="336" w:lineRule="atLeast"/>
        <w:rPr>
          <w:rFonts w:ascii="Times New Roman" w:hAnsi="Times New Roman" w:cs="Times New Roman"/>
          <w:color w:val="313131"/>
          <w:sz w:val="24"/>
          <w:szCs w:val="24"/>
        </w:rPr>
      </w:pPr>
    </w:p>
    <w:p w14:paraId="2AB86096" w14:textId="77777777" w:rsidR="0017152E" w:rsidRDefault="0017152E" w:rsidP="0017152E">
      <w:pPr>
        <w:rPr>
          <w:rFonts w:ascii="Times New Roman" w:hAnsi="Times New Roman" w:cs="Times New Roman"/>
          <w:color w:val="000000" w:themeColor="text1"/>
          <w:sz w:val="24"/>
          <w:szCs w:val="24"/>
        </w:rPr>
      </w:pPr>
      <w:hyperlink r:id="rId6" w:history="1">
        <w:r>
          <w:rPr>
            <w:rStyle w:val="Hyperlink"/>
            <w:rFonts w:ascii="Times New Roman" w:hAnsi="Times New Roman" w:cs="Times New Roman"/>
            <w:sz w:val="24"/>
            <w:szCs w:val="24"/>
          </w:rPr>
          <w:t>https://ineqe.com/safeguarding-hub/</w:t>
        </w:r>
      </w:hyperlink>
      <w:r>
        <w:rPr>
          <w:rFonts w:ascii="Times New Roman" w:hAnsi="Times New Roman" w:cs="Times New Roman"/>
          <w:color w:val="000000" w:themeColor="text1"/>
          <w:sz w:val="24"/>
          <w:szCs w:val="24"/>
        </w:rPr>
        <w:t xml:space="preserve"> </w:t>
      </w:r>
    </w:p>
    <w:p w14:paraId="7E5E1D7A" w14:textId="77777777" w:rsidR="0017152E" w:rsidRDefault="0017152E" w:rsidP="0017152E">
      <w:pPr>
        <w:spacing w:after="0" w:line="336" w:lineRule="atLeast"/>
        <w:rPr>
          <w:rStyle w:val="Hyperlink"/>
        </w:rPr>
      </w:pPr>
      <w:hyperlink r:id="rId7" w:history="1">
        <w:r>
          <w:rPr>
            <w:rStyle w:val="Hyperlink"/>
            <w:rFonts w:ascii="Times New Roman" w:hAnsi="Times New Roman" w:cs="Times New Roman"/>
            <w:sz w:val="24"/>
            <w:szCs w:val="24"/>
          </w:rPr>
          <w:t>https://www.saferinternet.org.uk/advice-centre/parents-and-carers</w:t>
        </w:r>
      </w:hyperlink>
    </w:p>
    <w:p w14:paraId="7B9DC57E" w14:textId="77777777" w:rsidR="0017152E" w:rsidRDefault="0017152E" w:rsidP="0017152E">
      <w:pPr>
        <w:spacing w:after="0" w:line="336" w:lineRule="atLeast"/>
        <w:rPr>
          <w:color w:val="313131"/>
        </w:rPr>
      </w:pPr>
    </w:p>
    <w:p w14:paraId="6EAE7838" w14:textId="4806CA14" w:rsidR="0017152E" w:rsidRDefault="0017152E" w:rsidP="0017152E">
      <w:pPr>
        <w:jc w:val="both"/>
        <w:rPr>
          <w:rFonts w:ascii="Times New Roman" w:hAnsi="Times New Roman" w:cs="Times New Roman"/>
          <w:sz w:val="24"/>
          <w:szCs w:val="24"/>
        </w:rPr>
      </w:pPr>
      <w:r>
        <w:rPr>
          <w:noProof/>
        </w:rPr>
        <w:drawing>
          <wp:anchor distT="0" distB="0" distL="114300" distR="114300" simplePos="0" relativeHeight="251660288" behindDoc="1" locked="0" layoutInCell="1" allowOverlap="1" wp14:anchorId="0251AC6C" wp14:editId="555564BF">
            <wp:simplePos x="0" y="0"/>
            <wp:positionH relativeFrom="margin">
              <wp:align>right</wp:align>
            </wp:positionH>
            <wp:positionV relativeFrom="paragraph">
              <wp:posOffset>29210</wp:posOffset>
            </wp:positionV>
            <wp:extent cx="1515110" cy="847725"/>
            <wp:effectExtent l="19050" t="19050" r="27940" b="28575"/>
            <wp:wrapTight wrapText="bothSides">
              <wp:wrapPolygon edited="0">
                <wp:start x="-272" y="-485"/>
                <wp:lineTo x="-272" y="21843"/>
                <wp:lineTo x="21727" y="21843"/>
                <wp:lineTo x="21727" y="-485"/>
                <wp:lineTo x="-272" y="-485"/>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l="27753" t="38408" r="30368" b="19934"/>
                    <a:stretch>
                      <a:fillRect/>
                    </a:stretch>
                  </pic:blipFill>
                  <pic:spPr bwMode="auto">
                    <a:xfrm>
                      <a:off x="0" y="0"/>
                      <a:ext cx="1515110" cy="847725"/>
                    </a:xfrm>
                    <a:prstGeom prst="rect">
                      <a:avLst/>
                    </a:prstGeom>
                    <a:noFill/>
                    <a:ln w="25400">
                      <a:solidFill>
                        <a:srgbClr val="002060"/>
                      </a:solidFill>
                      <a:miter lim="800000"/>
                      <a:headEnd/>
                      <a:tailEnd/>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 xml:space="preserve">In addition, the </w:t>
      </w:r>
      <w:hyperlink r:id="rId9" w:history="1">
        <w:r>
          <w:rPr>
            <w:rStyle w:val="Hyperlink"/>
            <w:rFonts w:ascii="Times New Roman" w:hAnsi="Times New Roman" w:cs="Times New Roman"/>
            <w:sz w:val="24"/>
            <w:szCs w:val="24"/>
          </w:rPr>
          <w:t>‘Supporting Learning’</w:t>
        </w:r>
      </w:hyperlink>
      <w:r>
        <w:rPr>
          <w:rFonts w:ascii="Times New Roman" w:hAnsi="Times New Roman" w:cs="Times New Roman"/>
          <w:sz w:val="24"/>
          <w:szCs w:val="24"/>
        </w:rPr>
        <w:t xml:space="preserve"> material available on the Education Authority (EA) website and specifically EA designed material, link directly with Northern Ireland Curriculum, provide reinforcement and a reminder of the key literacy and numeracy concepts across Key Stage 2. </w:t>
      </w:r>
    </w:p>
    <w:p w14:paraId="3646E984" w14:textId="77777777" w:rsidR="0017152E" w:rsidRDefault="0017152E" w:rsidP="0017152E">
      <w:pPr>
        <w:jc w:val="both"/>
        <w:rPr>
          <w:rFonts w:ascii="Times New Roman" w:hAnsi="Times New Roman" w:cs="Times New Roman"/>
          <w:sz w:val="24"/>
          <w:szCs w:val="24"/>
        </w:rPr>
      </w:pPr>
    </w:p>
    <w:p w14:paraId="59793974" w14:textId="77777777" w:rsidR="0017152E" w:rsidRDefault="0017152E" w:rsidP="0017152E">
      <w:pPr>
        <w:pStyle w:val="NormalWeb"/>
        <w:rPr>
          <w:color w:val="000000"/>
        </w:rPr>
      </w:pPr>
      <w:r>
        <w:rPr>
          <w:color w:val="000000"/>
        </w:rPr>
        <w:t>Please feel free to use the above online resources as you feel appropriate for your child.</w:t>
      </w:r>
    </w:p>
    <w:p w14:paraId="1A9E0271" w14:textId="77777777" w:rsidR="0017152E" w:rsidRDefault="0017152E" w:rsidP="0017152E">
      <w:pPr>
        <w:pStyle w:val="NormalWeb"/>
        <w:rPr>
          <w:color w:val="000000"/>
        </w:rPr>
      </w:pPr>
      <w:r>
        <w:rPr>
          <w:color w:val="000000"/>
        </w:rPr>
        <w:t>Kind Regards</w:t>
      </w:r>
    </w:p>
    <w:p w14:paraId="3AD060B9" w14:textId="77777777" w:rsidR="0017152E" w:rsidRDefault="0017152E" w:rsidP="0017152E">
      <w:pPr>
        <w:pStyle w:val="NormalWeb"/>
        <w:rPr>
          <w:color w:val="000000"/>
        </w:rPr>
      </w:pPr>
      <w:proofErr w:type="gramStart"/>
      <w:r>
        <w:rPr>
          <w:color w:val="000000"/>
        </w:rPr>
        <w:t>Fiona  McCann</w:t>
      </w:r>
      <w:proofErr w:type="gramEnd"/>
    </w:p>
    <w:p w14:paraId="671B7178" w14:textId="77777777" w:rsidR="0017152E" w:rsidRDefault="0017152E" w:rsidP="0017152E">
      <w:pPr>
        <w:pStyle w:val="NormalWeb"/>
        <w:rPr>
          <w:color w:val="000000"/>
        </w:rPr>
      </w:pPr>
      <w:r>
        <w:rPr>
          <w:color w:val="000000"/>
        </w:rPr>
        <w:t xml:space="preserve">Principal </w:t>
      </w:r>
    </w:p>
    <w:p w14:paraId="06D15D3D" w14:textId="38AF2E9E" w:rsidR="00F93C86" w:rsidRDefault="00F93C86" w:rsidP="003C0703">
      <w:pPr>
        <w:pStyle w:val="NormalWeb"/>
      </w:pPr>
    </w:p>
    <w:sectPr w:rsidR="00F93C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15AFE"/>
    <w:multiLevelType w:val="hybridMultilevel"/>
    <w:tmpl w:val="FE6AB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747FF6"/>
    <w:multiLevelType w:val="hybridMultilevel"/>
    <w:tmpl w:val="B2C6C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6C2"/>
    <w:rsid w:val="00003587"/>
    <w:rsid w:val="00003FE9"/>
    <w:rsid w:val="00011AB2"/>
    <w:rsid w:val="00037CEE"/>
    <w:rsid w:val="00063201"/>
    <w:rsid w:val="00067312"/>
    <w:rsid w:val="00074EB0"/>
    <w:rsid w:val="0008528C"/>
    <w:rsid w:val="00090A8A"/>
    <w:rsid w:val="000C7770"/>
    <w:rsid w:val="000E6BBD"/>
    <w:rsid w:val="000F2CBD"/>
    <w:rsid w:val="00101424"/>
    <w:rsid w:val="0011629C"/>
    <w:rsid w:val="00121ECA"/>
    <w:rsid w:val="001271C5"/>
    <w:rsid w:val="00132157"/>
    <w:rsid w:val="00132270"/>
    <w:rsid w:val="001330C5"/>
    <w:rsid w:val="0014251E"/>
    <w:rsid w:val="00166F6B"/>
    <w:rsid w:val="0017152E"/>
    <w:rsid w:val="00177F10"/>
    <w:rsid w:val="0018303D"/>
    <w:rsid w:val="001A683E"/>
    <w:rsid w:val="001A7001"/>
    <w:rsid w:val="001C1C22"/>
    <w:rsid w:val="001D669D"/>
    <w:rsid w:val="001E2E66"/>
    <w:rsid w:val="001F049B"/>
    <w:rsid w:val="00201B3F"/>
    <w:rsid w:val="002234A1"/>
    <w:rsid w:val="002419DD"/>
    <w:rsid w:val="00254CF5"/>
    <w:rsid w:val="002739B8"/>
    <w:rsid w:val="00286F48"/>
    <w:rsid w:val="002A1514"/>
    <w:rsid w:val="002A52F9"/>
    <w:rsid w:val="002B791D"/>
    <w:rsid w:val="002C79AE"/>
    <w:rsid w:val="002D71BC"/>
    <w:rsid w:val="002F0542"/>
    <w:rsid w:val="002F56E3"/>
    <w:rsid w:val="002F65D9"/>
    <w:rsid w:val="002F6922"/>
    <w:rsid w:val="003069E6"/>
    <w:rsid w:val="00311CA5"/>
    <w:rsid w:val="00326E06"/>
    <w:rsid w:val="00341490"/>
    <w:rsid w:val="0034391F"/>
    <w:rsid w:val="00356970"/>
    <w:rsid w:val="00364B97"/>
    <w:rsid w:val="00364EE6"/>
    <w:rsid w:val="00373075"/>
    <w:rsid w:val="003B33DC"/>
    <w:rsid w:val="003B5E29"/>
    <w:rsid w:val="003B7234"/>
    <w:rsid w:val="003C0060"/>
    <w:rsid w:val="003C0703"/>
    <w:rsid w:val="003D314B"/>
    <w:rsid w:val="003F7301"/>
    <w:rsid w:val="004110EB"/>
    <w:rsid w:val="00423B36"/>
    <w:rsid w:val="00437F43"/>
    <w:rsid w:val="00442EF7"/>
    <w:rsid w:val="00447717"/>
    <w:rsid w:val="00450D6F"/>
    <w:rsid w:val="00470C45"/>
    <w:rsid w:val="00470F00"/>
    <w:rsid w:val="00492C77"/>
    <w:rsid w:val="004B2E1C"/>
    <w:rsid w:val="004C5E02"/>
    <w:rsid w:val="004C5F39"/>
    <w:rsid w:val="004D4FFB"/>
    <w:rsid w:val="004F058D"/>
    <w:rsid w:val="004F3D39"/>
    <w:rsid w:val="004F5166"/>
    <w:rsid w:val="004F54E6"/>
    <w:rsid w:val="0050593D"/>
    <w:rsid w:val="005127ED"/>
    <w:rsid w:val="00530F08"/>
    <w:rsid w:val="005448FA"/>
    <w:rsid w:val="00553122"/>
    <w:rsid w:val="00557AA4"/>
    <w:rsid w:val="005668F7"/>
    <w:rsid w:val="00572725"/>
    <w:rsid w:val="00581EE7"/>
    <w:rsid w:val="005A54F1"/>
    <w:rsid w:val="005C45CC"/>
    <w:rsid w:val="005C77B0"/>
    <w:rsid w:val="005D7243"/>
    <w:rsid w:val="005F7A0F"/>
    <w:rsid w:val="0062482D"/>
    <w:rsid w:val="006304BF"/>
    <w:rsid w:val="006410D4"/>
    <w:rsid w:val="0065100D"/>
    <w:rsid w:val="006514C1"/>
    <w:rsid w:val="00654592"/>
    <w:rsid w:val="006822CF"/>
    <w:rsid w:val="006A5AFB"/>
    <w:rsid w:val="006C43A5"/>
    <w:rsid w:val="006C47A3"/>
    <w:rsid w:val="00703BC4"/>
    <w:rsid w:val="00734C35"/>
    <w:rsid w:val="00754D7A"/>
    <w:rsid w:val="00755594"/>
    <w:rsid w:val="007577C9"/>
    <w:rsid w:val="00762D0B"/>
    <w:rsid w:val="0077529F"/>
    <w:rsid w:val="00783E94"/>
    <w:rsid w:val="007856F2"/>
    <w:rsid w:val="007B3AEF"/>
    <w:rsid w:val="007D40BB"/>
    <w:rsid w:val="008203BB"/>
    <w:rsid w:val="00837060"/>
    <w:rsid w:val="0085026B"/>
    <w:rsid w:val="00854C17"/>
    <w:rsid w:val="008578A8"/>
    <w:rsid w:val="00857942"/>
    <w:rsid w:val="00872445"/>
    <w:rsid w:val="00877B8B"/>
    <w:rsid w:val="008B1B61"/>
    <w:rsid w:val="008C1F7D"/>
    <w:rsid w:val="008C6773"/>
    <w:rsid w:val="008D4A62"/>
    <w:rsid w:val="00921E50"/>
    <w:rsid w:val="0092310A"/>
    <w:rsid w:val="00933E4E"/>
    <w:rsid w:val="009444E2"/>
    <w:rsid w:val="00950EB9"/>
    <w:rsid w:val="00965A73"/>
    <w:rsid w:val="009928DB"/>
    <w:rsid w:val="009A6768"/>
    <w:rsid w:val="009E6686"/>
    <w:rsid w:val="009F0443"/>
    <w:rsid w:val="00A40A58"/>
    <w:rsid w:val="00A56826"/>
    <w:rsid w:val="00A63DA6"/>
    <w:rsid w:val="00A71DCF"/>
    <w:rsid w:val="00A75BF4"/>
    <w:rsid w:val="00A92D79"/>
    <w:rsid w:val="00AA2089"/>
    <w:rsid w:val="00AA28E2"/>
    <w:rsid w:val="00AE32C5"/>
    <w:rsid w:val="00AE4F6F"/>
    <w:rsid w:val="00B05FEF"/>
    <w:rsid w:val="00B45000"/>
    <w:rsid w:val="00B45082"/>
    <w:rsid w:val="00B56365"/>
    <w:rsid w:val="00B572E2"/>
    <w:rsid w:val="00B71521"/>
    <w:rsid w:val="00B80B94"/>
    <w:rsid w:val="00B9693C"/>
    <w:rsid w:val="00BC5ABC"/>
    <w:rsid w:val="00BE57C3"/>
    <w:rsid w:val="00C24723"/>
    <w:rsid w:val="00C34E66"/>
    <w:rsid w:val="00C50C75"/>
    <w:rsid w:val="00C93AE1"/>
    <w:rsid w:val="00CA172B"/>
    <w:rsid w:val="00CC228B"/>
    <w:rsid w:val="00CC57E0"/>
    <w:rsid w:val="00CD5639"/>
    <w:rsid w:val="00D03493"/>
    <w:rsid w:val="00D07D1F"/>
    <w:rsid w:val="00D2005F"/>
    <w:rsid w:val="00D22E8E"/>
    <w:rsid w:val="00D26960"/>
    <w:rsid w:val="00D37304"/>
    <w:rsid w:val="00D55A6B"/>
    <w:rsid w:val="00D90522"/>
    <w:rsid w:val="00D909A6"/>
    <w:rsid w:val="00DA5911"/>
    <w:rsid w:val="00DD0292"/>
    <w:rsid w:val="00DD0B8D"/>
    <w:rsid w:val="00DE3075"/>
    <w:rsid w:val="00DE5688"/>
    <w:rsid w:val="00DE69FE"/>
    <w:rsid w:val="00DF0115"/>
    <w:rsid w:val="00E24687"/>
    <w:rsid w:val="00E63ECA"/>
    <w:rsid w:val="00E727A1"/>
    <w:rsid w:val="00E75760"/>
    <w:rsid w:val="00EA1908"/>
    <w:rsid w:val="00ED2261"/>
    <w:rsid w:val="00EF529B"/>
    <w:rsid w:val="00F03B2F"/>
    <w:rsid w:val="00F12D51"/>
    <w:rsid w:val="00F25A59"/>
    <w:rsid w:val="00F5018B"/>
    <w:rsid w:val="00F776C2"/>
    <w:rsid w:val="00F93C86"/>
    <w:rsid w:val="00F95578"/>
    <w:rsid w:val="00FB34DA"/>
    <w:rsid w:val="00FD3DE1"/>
    <w:rsid w:val="00FE2BFB"/>
    <w:rsid w:val="00FE3948"/>
    <w:rsid w:val="00FE75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8D1A3"/>
  <w15:chartTrackingRefBased/>
  <w15:docId w15:val="{A34B77BB-894B-4B14-8729-3B7ABED31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92C7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330C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448FA"/>
    <w:rPr>
      <w:color w:val="0563C1" w:themeColor="hyperlink"/>
      <w:u w:val="single"/>
    </w:rPr>
  </w:style>
  <w:style w:type="character" w:styleId="UnresolvedMention">
    <w:name w:val="Unresolved Mention"/>
    <w:basedOn w:val="DefaultParagraphFont"/>
    <w:uiPriority w:val="99"/>
    <w:semiHidden/>
    <w:unhideWhenUsed/>
    <w:rsid w:val="005448FA"/>
    <w:rPr>
      <w:color w:val="605E5C"/>
      <w:shd w:val="clear" w:color="auto" w:fill="E1DFDD"/>
    </w:rPr>
  </w:style>
  <w:style w:type="paragraph" w:styleId="ListParagraph">
    <w:name w:val="List Paragraph"/>
    <w:basedOn w:val="Normal"/>
    <w:uiPriority w:val="34"/>
    <w:qFormat/>
    <w:rsid w:val="009A6768"/>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767855">
      <w:bodyDiv w:val="1"/>
      <w:marLeft w:val="0"/>
      <w:marRight w:val="0"/>
      <w:marTop w:val="0"/>
      <w:marBottom w:val="0"/>
      <w:divBdr>
        <w:top w:val="none" w:sz="0" w:space="0" w:color="auto"/>
        <w:left w:val="none" w:sz="0" w:space="0" w:color="auto"/>
        <w:bottom w:val="none" w:sz="0" w:space="0" w:color="auto"/>
        <w:right w:val="none" w:sz="0" w:space="0" w:color="auto"/>
      </w:divBdr>
    </w:div>
    <w:div w:id="583415355">
      <w:bodyDiv w:val="1"/>
      <w:marLeft w:val="0"/>
      <w:marRight w:val="0"/>
      <w:marTop w:val="0"/>
      <w:marBottom w:val="0"/>
      <w:divBdr>
        <w:top w:val="none" w:sz="0" w:space="0" w:color="auto"/>
        <w:left w:val="none" w:sz="0" w:space="0" w:color="auto"/>
        <w:bottom w:val="none" w:sz="0" w:space="0" w:color="auto"/>
        <w:right w:val="none" w:sz="0" w:space="0" w:color="auto"/>
      </w:divBdr>
    </w:div>
    <w:div w:id="1177577267">
      <w:bodyDiv w:val="1"/>
      <w:marLeft w:val="0"/>
      <w:marRight w:val="0"/>
      <w:marTop w:val="0"/>
      <w:marBottom w:val="0"/>
      <w:divBdr>
        <w:top w:val="none" w:sz="0" w:space="0" w:color="auto"/>
        <w:left w:val="none" w:sz="0" w:space="0" w:color="auto"/>
        <w:bottom w:val="none" w:sz="0" w:space="0" w:color="auto"/>
        <w:right w:val="none" w:sz="0" w:space="0" w:color="auto"/>
      </w:divBdr>
    </w:div>
    <w:div w:id="1238203968">
      <w:bodyDiv w:val="1"/>
      <w:marLeft w:val="0"/>
      <w:marRight w:val="0"/>
      <w:marTop w:val="0"/>
      <w:marBottom w:val="0"/>
      <w:divBdr>
        <w:top w:val="none" w:sz="0" w:space="0" w:color="auto"/>
        <w:left w:val="none" w:sz="0" w:space="0" w:color="auto"/>
        <w:bottom w:val="none" w:sz="0" w:space="0" w:color="auto"/>
        <w:right w:val="none" w:sz="0" w:space="0" w:color="auto"/>
      </w:divBdr>
    </w:div>
    <w:div w:id="1671979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www.saferinternet.org.uk/advice-centre/parents-and-car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eqe.com/safeguarding-hub/"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eani.org.uk/primary-school-education-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2</Pages>
  <Words>436</Words>
  <Characters>2488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McCann</dc:creator>
  <cp:keywords/>
  <dc:description/>
  <cp:lastModifiedBy>Fiona McCann</cp:lastModifiedBy>
  <cp:revision>197</cp:revision>
  <dcterms:created xsi:type="dcterms:W3CDTF">2020-03-16T16:02:00Z</dcterms:created>
  <dcterms:modified xsi:type="dcterms:W3CDTF">2020-07-14T13:46:00Z</dcterms:modified>
</cp:coreProperties>
</file>